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36532E">
        <w:rPr>
          <w:rFonts w:ascii="Times New Roman" w:eastAsia="Times New Roman" w:hAnsi="Times New Roman"/>
          <w:sz w:val="36"/>
          <w:szCs w:val="36"/>
        </w:rPr>
        <w:t xml:space="preserve">PROVISIONS  </w:t>
      </w:r>
      <w:r w:rsidR="00975657"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DD233B"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NMTC/ASAN/GD/46</w:t>
      </w:r>
      <w:r w:rsidR="00F36073">
        <w:rPr>
          <w:rFonts w:ascii="Times New Roman" w:eastAsia="Times New Roman" w:hAnsi="Times New Roman"/>
          <w:color w:val="FF0000"/>
          <w:sz w:val="24"/>
          <w:szCs w:val="24"/>
        </w:rPr>
        <w:t>/2025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Pr>
          <w:rFonts w:ascii="Times New Roman" w:eastAsia="Times New Roman" w:hAnsi="Times New Roman"/>
          <w:color w:val="FF0000"/>
          <w:sz w:val="24"/>
          <w:szCs w:val="24"/>
        </w:rPr>
        <w:t>4</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DD233B"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DECEMBER</w:t>
      </w:r>
      <w:r w:rsidR="00F36073">
        <w:rPr>
          <w:rFonts w:ascii="Times New Roman" w:eastAsia="Times New Roman" w:hAnsi="Times New Roman"/>
          <w:b/>
          <w:color w:val="FF0000"/>
          <w:sz w:val="29"/>
        </w:rPr>
        <w:t>,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DD233B">
        <w:rPr>
          <w:rFonts w:ascii="Times New Roman" w:eastAsia="Times New Roman" w:hAnsi="Times New Roman"/>
          <w:color w:val="000000" w:themeColor="text1"/>
          <w:sz w:val="24"/>
        </w:rPr>
        <w:t>GD/46</w:t>
      </w:r>
      <w:r w:rsidR="00F36073">
        <w:rPr>
          <w:rFonts w:ascii="Times New Roman" w:eastAsia="Times New Roman" w:hAnsi="Times New Roman"/>
          <w:color w:val="000000" w:themeColor="text1"/>
          <w:sz w:val="24"/>
        </w:rPr>
        <w:t>/2025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DD233B">
        <w:rPr>
          <w:rFonts w:ascii="Times New Roman" w:eastAsia="Times New Roman" w:hAnsi="Times New Roman"/>
          <w:color w:val="000000" w:themeColor="text1"/>
          <w:sz w:val="24"/>
        </w:rPr>
        <w:t>4</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754904">
        <w:rPr>
          <w:rFonts w:ascii="Times New Roman" w:eastAsia="Times New Roman" w:hAnsi="Times New Roman"/>
          <w:sz w:val="23"/>
        </w:rPr>
        <w:t>:  15</w:t>
      </w:r>
      <w:r w:rsidR="00AE0BEF">
        <w:rPr>
          <w:rFonts w:ascii="Times New Roman" w:eastAsia="Times New Roman" w:hAnsi="Times New Roman"/>
          <w:sz w:val="23"/>
        </w:rPr>
        <w:t>/12</w:t>
      </w:r>
      <w:r w:rsidR="00F36073">
        <w:rPr>
          <w:rFonts w:ascii="Times New Roman" w:eastAsia="Times New Roman" w:hAnsi="Times New Roman"/>
          <w:sz w:val="23"/>
        </w:rPr>
        <w:t xml:space="preserve">/2025 </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2850A7">
        <w:rPr>
          <w:rFonts w:ascii="Times New Roman" w:eastAsia="Times New Roman" w:hAnsi="Times New Roman"/>
          <w:sz w:val="23"/>
        </w:rPr>
        <w:t>Provisions</w:t>
      </w:r>
      <w:r w:rsidR="002C1A27">
        <w:rPr>
          <w:rFonts w:ascii="Times New Roman" w:eastAsia="Times New Roman" w:hAnsi="Times New Roman"/>
          <w:sz w:val="23"/>
        </w:rPr>
        <w:t>.</w:t>
      </w:r>
    </w:p>
    <w:p w:rsidR="000C34E7" w:rsidRDefault="000C34E7" w:rsidP="00CA6F8A">
      <w:pPr>
        <w:spacing w:line="0" w:lineRule="atLeast"/>
        <w:rPr>
          <w:rFonts w:ascii="Times New Roman" w:eastAsia="Times New Roman" w:hAnsi="Times New Roman"/>
          <w:sz w:val="24"/>
        </w:rPr>
      </w:pPr>
    </w:p>
    <w:p w:rsidR="00DD233B" w:rsidRPr="00DD233B" w:rsidRDefault="00DD233B" w:rsidP="00DD233B">
      <w:pPr>
        <w:pStyle w:val="ListParagraph"/>
        <w:numPr>
          <w:ilvl w:val="1"/>
          <w:numId w:val="2"/>
        </w:num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DD233B" w:rsidRDefault="00DD233B" w:rsidP="00AD5468">
            <w:pPr>
              <w:spacing w:line="0" w:lineRule="atLeast"/>
              <w:rPr>
                <w:rFonts w:ascii="Times New Roman" w:eastAsia="Times New Roman" w:hAnsi="Times New Roman"/>
                <w:b/>
                <w:sz w:val="24"/>
              </w:rPr>
            </w:pPr>
          </w:p>
          <w:p w:rsidR="00F779F9" w:rsidRPr="003F0FCC" w:rsidRDefault="00DD233B"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LOT </w:t>
            </w:r>
          </w:p>
        </w:tc>
        <w:tc>
          <w:tcPr>
            <w:tcW w:w="3345" w:type="dxa"/>
          </w:tcPr>
          <w:p w:rsidR="00DD233B" w:rsidRDefault="00DD233B" w:rsidP="00AD5468">
            <w:pPr>
              <w:spacing w:line="0" w:lineRule="atLeast"/>
              <w:rPr>
                <w:rFonts w:ascii="Times New Roman" w:eastAsia="Times New Roman" w:hAnsi="Times New Roman"/>
                <w:b/>
                <w:sz w:val="24"/>
              </w:rPr>
            </w:pPr>
          </w:p>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DD233B" w:rsidRDefault="00DD233B" w:rsidP="00AD5468">
            <w:pPr>
              <w:spacing w:line="0" w:lineRule="atLeast"/>
              <w:rPr>
                <w:rFonts w:ascii="Times New Roman" w:eastAsia="Times New Roman" w:hAnsi="Times New Roman"/>
                <w:b/>
                <w:sz w:val="24"/>
              </w:rPr>
            </w:pPr>
          </w:p>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DD233B" w:rsidRDefault="00DD233B" w:rsidP="00AD5468">
            <w:pPr>
              <w:spacing w:line="0" w:lineRule="atLeast"/>
              <w:rPr>
                <w:rFonts w:ascii="Times New Roman" w:eastAsia="Times New Roman" w:hAnsi="Times New Roman"/>
                <w:b/>
                <w:sz w:val="24"/>
              </w:rPr>
            </w:pPr>
          </w:p>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DD233B" w:rsidRDefault="00DD233B" w:rsidP="00AD5468">
            <w:pPr>
              <w:spacing w:line="0" w:lineRule="atLeast"/>
              <w:rPr>
                <w:rFonts w:ascii="Times New Roman" w:eastAsia="Times New Roman" w:hAnsi="Times New Roman"/>
                <w:sz w:val="24"/>
              </w:rPr>
            </w:pPr>
          </w:p>
          <w:p w:rsidR="00DD233B" w:rsidRDefault="00DD233B"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DD233B" w:rsidRDefault="00DD233B" w:rsidP="00AD5468">
            <w:pPr>
              <w:spacing w:line="0" w:lineRule="atLeast"/>
              <w:rPr>
                <w:rFonts w:ascii="Times New Roman" w:eastAsia="Times New Roman" w:hAnsi="Times New Roman"/>
                <w:sz w:val="24"/>
              </w:rPr>
            </w:pPr>
          </w:p>
          <w:p w:rsidR="00DD233B" w:rsidRDefault="00DD233B" w:rsidP="00AD5468">
            <w:pPr>
              <w:spacing w:line="0" w:lineRule="atLeast"/>
              <w:rPr>
                <w:rFonts w:ascii="Times New Roman" w:eastAsia="Times New Roman" w:hAnsi="Times New Roman"/>
                <w:sz w:val="24"/>
              </w:rPr>
            </w:pPr>
          </w:p>
          <w:p w:rsidR="00F779F9" w:rsidRPr="00C52412"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Canned Soft Drinks</w:t>
            </w:r>
          </w:p>
        </w:tc>
        <w:tc>
          <w:tcPr>
            <w:tcW w:w="1352" w:type="dxa"/>
          </w:tcPr>
          <w:p w:rsidR="00DD233B" w:rsidRDefault="00DD233B" w:rsidP="00AD5468">
            <w:pPr>
              <w:spacing w:line="0" w:lineRule="atLeast"/>
              <w:rPr>
                <w:rFonts w:ascii="Times New Roman" w:eastAsia="Times New Roman" w:hAnsi="Times New Roman"/>
                <w:sz w:val="24"/>
              </w:rPr>
            </w:pPr>
          </w:p>
          <w:p w:rsidR="00DD233B" w:rsidRDefault="00DD233B" w:rsidP="00AD5468">
            <w:pPr>
              <w:spacing w:line="0" w:lineRule="atLeast"/>
              <w:rPr>
                <w:rFonts w:ascii="Times New Roman" w:eastAsia="Times New Roman" w:hAnsi="Times New Roman"/>
                <w:sz w:val="24"/>
              </w:rPr>
            </w:pPr>
          </w:p>
          <w:p w:rsidR="00F779F9"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DD233B" w:rsidRDefault="00DD233B" w:rsidP="00AD5468">
            <w:pPr>
              <w:spacing w:line="0" w:lineRule="atLeast"/>
              <w:rPr>
                <w:rFonts w:ascii="Times New Roman" w:eastAsia="Times New Roman" w:hAnsi="Times New Roman"/>
                <w:sz w:val="24"/>
              </w:rPr>
            </w:pPr>
          </w:p>
          <w:p w:rsidR="00DD233B" w:rsidRDefault="00DD233B" w:rsidP="00AD5468">
            <w:pPr>
              <w:spacing w:line="0" w:lineRule="atLeast"/>
              <w:rPr>
                <w:rFonts w:ascii="Times New Roman" w:eastAsia="Times New Roman" w:hAnsi="Times New Roman"/>
                <w:sz w:val="24"/>
              </w:rPr>
            </w:pPr>
          </w:p>
          <w:p w:rsidR="00F779F9" w:rsidRDefault="00DD233B" w:rsidP="00AD5468">
            <w:pPr>
              <w:spacing w:line="0" w:lineRule="atLeast"/>
              <w:rPr>
                <w:rFonts w:ascii="Times New Roman" w:eastAsia="Times New Roman" w:hAnsi="Times New Roman"/>
                <w:sz w:val="24"/>
              </w:rPr>
            </w:pPr>
            <w:r>
              <w:rPr>
                <w:rFonts w:ascii="Times New Roman" w:eastAsia="Times New Roman" w:hAnsi="Times New Roman"/>
                <w:sz w:val="24"/>
              </w:rPr>
              <w:t>95</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502734">
        <w:rPr>
          <w:rFonts w:ascii="Times New Roman" w:eastAsia="Times New Roman" w:hAnsi="Times New Roman"/>
          <w:color w:val="000000" w:themeColor="text1"/>
          <w:sz w:val="23"/>
        </w:rPr>
        <w:t>pply of the above provisions</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A55375">
        <w:rPr>
          <w:rFonts w:ascii="Times New Roman" w:eastAsia="Times New Roman" w:hAnsi="Times New Roman"/>
          <w:color w:val="000000" w:themeColor="text1"/>
          <w:sz w:val="23"/>
        </w:rPr>
        <w:t>1</w:t>
      </w:r>
      <w:r w:rsidR="00754904">
        <w:rPr>
          <w:rFonts w:ascii="Times New Roman" w:eastAsia="Times New Roman" w:hAnsi="Times New Roman"/>
          <w:color w:val="000000" w:themeColor="text1"/>
          <w:sz w:val="23"/>
        </w:rPr>
        <w:t>7</w:t>
      </w:r>
      <w:r w:rsidR="00A55375">
        <w:rPr>
          <w:rFonts w:ascii="Times New Roman" w:eastAsia="Times New Roman" w:hAnsi="Times New Roman"/>
          <w:color w:val="000000" w:themeColor="text1"/>
          <w:sz w:val="23"/>
          <w:vertAlign w:val="superscript"/>
        </w:rPr>
        <w:t>th</w:t>
      </w:r>
      <w:r w:rsidR="00464BF7">
        <w:rPr>
          <w:rFonts w:ascii="Times New Roman" w:eastAsia="Times New Roman" w:hAnsi="Times New Roman"/>
          <w:color w:val="000000" w:themeColor="text1"/>
          <w:sz w:val="23"/>
        </w:rPr>
        <w:t xml:space="preserve"> December</w:t>
      </w:r>
      <w:r w:rsidR="00676B11">
        <w:rPr>
          <w:rFonts w:ascii="Times New Roman" w:eastAsia="Times New Roman" w:hAnsi="Times New Roman"/>
          <w:color w:val="000000" w:themeColor="text1"/>
          <w:sz w:val="23"/>
        </w:rPr>
        <w:t xml:space="preserve"> </w:t>
      </w:r>
      <w:r w:rsidR="00A55375">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754904">
        <w:rPr>
          <w:rFonts w:ascii="Times New Roman" w:eastAsia="Times New Roman" w:hAnsi="Times New Roman"/>
          <w:color w:val="000000" w:themeColor="text1"/>
          <w:sz w:val="23"/>
        </w:rPr>
        <w:t>17</w:t>
      </w:r>
      <w:r w:rsidR="00A55375">
        <w:rPr>
          <w:rFonts w:ascii="Times New Roman" w:eastAsia="Times New Roman" w:hAnsi="Times New Roman"/>
          <w:color w:val="000000" w:themeColor="text1"/>
          <w:sz w:val="23"/>
          <w:vertAlign w:val="superscript"/>
        </w:rPr>
        <w:t>th</w:t>
      </w:r>
      <w:r w:rsidR="00464BF7">
        <w:rPr>
          <w:rFonts w:ascii="Times New Roman" w:eastAsia="Times New Roman" w:hAnsi="Times New Roman"/>
          <w:color w:val="000000" w:themeColor="text1"/>
          <w:sz w:val="23"/>
        </w:rPr>
        <w:t xml:space="preserve"> December</w:t>
      </w:r>
      <w:r w:rsidR="00A55375">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754904">
        <w:rPr>
          <w:rFonts w:ascii="Times New Roman" w:eastAsia="Times New Roman" w:hAnsi="Times New Roman"/>
          <w:sz w:val="23"/>
        </w:rPr>
        <w:t>17</w:t>
      </w:r>
      <w:r w:rsidR="00A55375">
        <w:rPr>
          <w:rFonts w:ascii="Times New Roman" w:eastAsia="Times New Roman" w:hAnsi="Times New Roman"/>
          <w:sz w:val="23"/>
          <w:vertAlign w:val="superscript"/>
        </w:rPr>
        <w:t>th</w:t>
      </w:r>
      <w:r w:rsidR="00464BF7">
        <w:rPr>
          <w:rFonts w:ascii="Times New Roman" w:eastAsia="Times New Roman" w:hAnsi="Times New Roman"/>
          <w:sz w:val="23"/>
        </w:rPr>
        <w:t xml:space="preserve"> December</w:t>
      </w:r>
      <w:r w:rsidR="00DE3D6E">
        <w:rPr>
          <w:rFonts w:ascii="Times New Roman" w:eastAsia="Times New Roman" w:hAnsi="Times New Roman"/>
          <w:sz w:val="23"/>
        </w:rPr>
        <w:t xml:space="preserve"> </w:t>
      </w:r>
      <w:r w:rsidR="00A55375">
        <w:rPr>
          <w:rFonts w:ascii="Times New Roman" w:eastAsia="Times New Roman" w:hAnsi="Times New Roman"/>
          <w:sz w:val="23"/>
        </w:rPr>
        <w:t>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A55375" w:rsidRDefault="00A55375" w:rsidP="00850BE2">
      <w:pPr>
        <w:tabs>
          <w:tab w:val="left" w:pos="920"/>
        </w:tabs>
        <w:spacing w:line="238" w:lineRule="auto"/>
        <w:ind w:right="1319"/>
        <w:rPr>
          <w:rFonts w:ascii="Times New Roman" w:eastAsia="Times New Roman" w:hAnsi="Times New Roman"/>
        </w:rPr>
      </w:pPr>
    </w:p>
    <w:p w:rsidR="00A55375"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A55375" w:rsidRPr="00A55375" w:rsidRDefault="00850BE2" w:rsidP="00A55375">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bookmarkStart w:id="4" w:name="_GoBack"/>
      <w:bookmarkEnd w:id="4"/>
    </w:p>
    <w:p w:rsidR="00A55375" w:rsidRDefault="00A55375" w:rsidP="00464BF7">
      <w:pPr>
        <w:ind w:left="993"/>
        <w:jc w:val="both"/>
        <w:rPr>
          <w:rFonts w:ascii="Times New Roman" w:eastAsia="Times New Roman" w:hAnsi="Times New Roman" w:cs="Times New Roman"/>
          <w:color w:val="000000" w:themeColor="text1"/>
          <w:sz w:val="22"/>
          <w:szCs w:val="22"/>
        </w:rPr>
      </w:pPr>
    </w:p>
    <w:p w:rsidR="00464BF7" w:rsidRDefault="00464BF7" w:rsidP="00464BF7">
      <w:pPr>
        <w:ind w:left="993"/>
        <w:jc w:val="both"/>
        <w:rPr>
          <w:rFonts w:ascii="Times New Roman" w:eastAsia="Times New Roman" w:hAnsi="Times New Roman" w:cs="Times New Roman"/>
          <w:color w:val="000000" w:themeColor="text1"/>
          <w:sz w:val="22"/>
          <w:szCs w:val="22"/>
        </w:rPr>
      </w:pPr>
    </w:p>
    <w:p w:rsidR="00464BF7" w:rsidRDefault="00464BF7" w:rsidP="00464BF7">
      <w:pPr>
        <w:ind w:left="993"/>
        <w:jc w:val="both"/>
        <w:rPr>
          <w:rFonts w:ascii="Times New Roman" w:eastAsia="Times New Roman" w:hAnsi="Times New Roman" w:cs="Times New Roman"/>
          <w:color w:val="000000" w:themeColor="text1"/>
          <w:sz w:val="22"/>
          <w:szCs w:val="22"/>
        </w:rPr>
      </w:pPr>
    </w:p>
    <w:p w:rsidR="00464BF7" w:rsidRDefault="00464BF7" w:rsidP="00464BF7">
      <w:pPr>
        <w:ind w:left="993"/>
        <w:jc w:val="both"/>
        <w:rPr>
          <w:rFonts w:ascii="Times New Roman" w:eastAsia="Times New Roman" w:hAnsi="Times New Roman" w:cs="Times New Roman"/>
          <w:color w:val="000000" w:themeColor="text1"/>
          <w:sz w:val="22"/>
          <w:szCs w:val="22"/>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lastRenderedPageBreak/>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Terms of 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464BF7" w:rsidRDefault="00464BF7" w:rsidP="00C4426E">
      <w:pPr>
        <w:rPr>
          <w:b/>
          <w:szCs w:val="24"/>
          <w:u w:val="single"/>
        </w:rPr>
      </w:pPr>
    </w:p>
    <w:p w:rsidR="00464BF7" w:rsidRDefault="00464BF7" w:rsidP="00C4426E">
      <w:pPr>
        <w:rPr>
          <w:b/>
          <w:szCs w:val="24"/>
          <w:u w:val="single"/>
        </w:rPr>
      </w:pPr>
    </w:p>
    <w:p w:rsidR="00464BF7" w:rsidRDefault="00464BF7"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877107"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3E3E2A">
        <w:rPr>
          <w:rFonts w:ascii="Times New Roman" w:eastAsia="Times New Roman" w:hAnsi="Times New Roman"/>
          <w:i/>
          <w:color w:val="FF0000"/>
          <w:sz w:val="23"/>
        </w:rPr>
        <w:t>Provisions</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3E3E2A">
        <w:rPr>
          <w:rFonts w:ascii="Times New Roman" w:eastAsia="Times New Roman" w:hAnsi="Times New Roman"/>
          <w:i/>
          <w:color w:val="FF0000"/>
          <w:sz w:val="23"/>
        </w:rPr>
        <w:t>Provisions</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17" w:rsidRDefault="003F7117" w:rsidP="000C69F5">
      <w:r>
        <w:separator/>
      </w:r>
    </w:p>
  </w:endnote>
  <w:endnote w:type="continuationSeparator" w:id="0">
    <w:p w:rsidR="003F7117" w:rsidRDefault="003F7117"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C7" w:rsidRDefault="00CE46C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54904">
      <w:rPr>
        <w:caps/>
        <w:noProof/>
        <w:color w:val="4472C4" w:themeColor="accent1"/>
      </w:rPr>
      <w:t>4</w:t>
    </w:r>
    <w:r>
      <w:rPr>
        <w:caps/>
        <w:noProof/>
        <w:color w:val="4472C4" w:themeColor="accent1"/>
      </w:rPr>
      <w:fldChar w:fldCharType="end"/>
    </w:r>
  </w:p>
  <w:p w:rsidR="00CE46C7" w:rsidRDefault="00CE4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17" w:rsidRDefault="003F7117" w:rsidP="000C69F5">
      <w:r>
        <w:separator/>
      </w:r>
    </w:p>
  </w:footnote>
  <w:footnote w:type="continuationSeparator" w:id="0">
    <w:p w:rsidR="003F7117" w:rsidRDefault="003F7117"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51930"/>
    <w:rsid w:val="00162EC4"/>
    <w:rsid w:val="00186E41"/>
    <w:rsid w:val="00236548"/>
    <w:rsid w:val="00251A4B"/>
    <w:rsid w:val="00271B0D"/>
    <w:rsid w:val="002850A7"/>
    <w:rsid w:val="00294B8F"/>
    <w:rsid w:val="002C1A27"/>
    <w:rsid w:val="002F2A3A"/>
    <w:rsid w:val="0036532E"/>
    <w:rsid w:val="00370985"/>
    <w:rsid w:val="003829A9"/>
    <w:rsid w:val="003E3E2A"/>
    <w:rsid w:val="003E7589"/>
    <w:rsid w:val="003F7117"/>
    <w:rsid w:val="004529B6"/>
    <w:rsid w:val="00464BF7"/>
    <w:rsid w:val="004B6D2F"/>
    <w:rsid w:val="004C455C"/>
    <w:rsid w:val="004F1706"/>
    <w:rsid w:val="004F3F97"/>
    <w:rsid w:val="00502734"/>
    <w:rsid w:val="005063A7"/>
    <w:rsid w:val="005748E4"/>
    <w:rsid w:val="0059595A"/>
    <w:rsid w:val="005A2A3E"/>
    <w:rsid w:val="005B0A27"/>
    <w:rsid w:val="005B17FD"/>
    <w:rsid w:val="005C167E"/>
    <w:rsid w:val="005C4A13"/>
    <w:rsid w:val="00604192"/>
    <w:rsid w:val="006751AB"/>
    <w:rsid w:val="00676B11"/>
    <w:rsid w:val="006A6644"/>
    <w:rsid w:val="006D2FFA"/>
    <w:rsid w:val="006F0243"/>
    <w:rsid w:val="00754904"/>
    <w:rsid w:val="00764F93"/>
    <w:rsid w:val="00766B79"/>
    <w:rsid w:val="00775F56"/>
    <w:rsid w:val="007B0EBF"/>
    <w:rsid w:val="007C4F33"/>
    <w:rsid w:val="0080404B"/>
    <w:rsid w:val="008375C8"/>
    <w:rsid w:val="00850BE2"/>
    <w:rsid w:val="00877107"/>
    <w:rsid w:val="00906CE6"/>
    <w:rsid w:val="0095540A"/>
    <w:rsid w:val="00975657"/>
    <w:rsid w:val="009B18F9"/>
    <w:rsid w:val="009B5978"/>
    <w:rsid w:val="009B7FC8"/>
    <w:rsid w:val="00A07D49"/>
    <w:rsid w:val="00A36B15"/>
    <w:rsid w:val="00A55375"/>
    <w:rsid w:val="00A60518"/>
    <w:rsid w:val="00A8390C"/>
    <w:rsid w:val="00AA4431"/>
    <w:rsid w:val="00AC0374"/>
    <w:rsid w:val="00AD5468"/>
    <w:rsid w:val="00AE0BEF"/>
    <w:rsid w:val="00AE597F"/>
    <w:rsid w:val="00B02DBE"/>
    <w:rsid w:val="00B14CE7"/>
    <w:rsid w:val="00B2677A"/>
    <w:rsid w:val="00B35193"/>
    <w:rsid w:val="00B530FC"/>
    <w:rsid w:val="00B76845"/>
    <w:rsid w:val="00B916B6"/>
    <w:rsid w:val="00BB1515"/>
    <w:rsid w:val="00BD19B2"/>
    <w:rsid w:val="00BE04D4"/>
    <w:rsid w:val="00BF2667"/>
    <w:rsid w:val="00C02537"/>
    <w:rsid w:val="00C3037B"/>
    <w:rsid w:val="00C4426E"/>
    <w:rsid w:val="00C52412"/>
    <w:rsid w:val="00C57A33"/>
    <w:rsid w:val="00CA6F8A"/>
    <w:rsid w:val="00CB3D19"/>
    <w:rsid w:val="00CC5E5F"/>
    <w:rsid w:val="00CE46C7"/>
    <w:rsid w:val="00D229A8"/>
    <w:rsid w:val="00D725FC"/>
    <w:rsid w:val="00DA1F96"/>
    <w:rsid w:val="00DA5F4D"/>
    <w:rsid w:val="00DB6E48"/>
    <w:rsid w:val="00DD233B"/>
    <w:rsid w:val="00DE3D6E"/>
    <w:rsid w:val="00DF0D2A"/>
    <w:rsid w:val="00E817B3"/>
    <w:rsid w:val="00E82293"/>
    <w:rsid w:val="00E82D04"/>
    <w:rsid w:val="00E9169A"/>
    <w:rsid w:val="00EC6002"/>
    <w:rsid w:val="00EE31AA"/>
    <w:rsid w:val="00EE683E"/>
    <w:rsid w:val="00EF24E1"/>
    <w:rsid w:val="00F36073"/>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4</cp:revision>
  <cp:lastPrinted>2024-03-05T15:45:00Z</cp:lastPrinted>
  <dcterms:created xsi:type="dcterms:W3CDTF">2025-12-11T14:01:00Z</dcterms:created>
  <dcterms:modified xsi:type="dcterms:W3CDTF">2025-12-15T07:30:00Z</dcterms:modified>
</cp:coreProperties>
</file>