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C9DC" w14:textId="6D9310E8" w:rsidR="0014717D" w:rsidRPr="00B61577" w:rsidRDefault="0043332E" w:rsidP="0014717D">
      <w:pPr>
        <w:jc w:val="center"/>
        <w:rPr>
          <w:b/>
          <w:bCs/>
          <w:u w:val="single"/>
        </w:rPr>
      </w:pPr>
      <w:r>
        <w:rPr>
          <w:rFonts w:ascii="Calibri"/>
          <w:b/>
          <w:bCs/>
          <w:u w:val="single"/>
        </w:rPr>
        <w:t xml:space="preserve"> </w:t>
      </w:r>
      <w:r w:rsidR="0014717D">
        <w:rPr>
          <w:rFonts w:ascii="Calibri"/>
          <w:b/>
          <w:bCs/>
          <w:u w:val="single"/>
        </w:rPr>
        <w:t>DATA REPOSITORY</w:t>
      </w:r>
      <w:r w:rsidR="0041743B">
        <w:rPr>
          <w:rFonts w:ascii="Calibri"/>
          <w:b/>
          <w:bCs/>
          <w:u w:val="single"/>
        </w:rPr>
        <w:t xml:space="preserve"> AND DATA MANAGEMENT PLAN FOR THE COLLEGE</w:t>
      </w:r>
    </w:p>
    <w:p w14:paraId="3248CE12" w14:textId="77777777" w:rsidR="0014717D" w:rsidRDefault="0014717D" w:rsidP="0014717D">
      <w:pPr>
        <w:jc w:val="center"/>
      </w:pPr>
    </w:p>
    <w:p w14:paraId="1E195B8F" w14:textId="19893022" w:rsidR="00082D04" w:rsidRDefault="00082D04" w:rsidP="00082D04">
      <w:r>
        <w:rPr>
          <w:rFonts w:ascii="Calibri"/>
        </w:rPr>
        <w:t xml:space="preserve">The College of Health, Yamfo seek to engage </w:t>
      </w:r>
      <w:r>
        <w:rPr>
          <w:rFonts w:ascii="Calibri"/>
        </w:rPr>
        <w:t xml:space="preserve">service providers develop </w:t>
      </w:r>
      <w:r>
        <w:rPr>
          <w:rFonts w:ascii="Calibri"/>
        </w:rPr>
        <w:t>to</w:t>
      </w:r>
      <w:r>
        <w:rPr>
          <w:rFonts w:ascii="Calibri"/>
        </w:rPr>
        <w:t xml:space="preserve"> centralized system </w:t>
      </w:r>
      <w:r w:rsidR="00620174">
        <w:rPr>
          <w:rFonts w:ascii="Calibri"/>
        </w:rPr>
        <w:t>designed to collect, manage, organize</w:t>
      </w:r>
      <w:r w:rsidR="006C18B9">
        <w:rPr>
          <w:rFonts w:ascii="Calibri"/>
        </w:rPr>
        <w:t xml:space="preserve">, store </w:t>
      </w:r>
      <w:r w:rsidR="00620174">
        <w:rPr>
          <w:rFonts w:ascii="Calibri"/>
        </w:rPr>
        <w:t>and allow access to data for research, analysis, reporting or backup.</w:t>
      </w:r>
    </w:p>
    <w:p w14:paraId="32666ABB" w14:textId="77777777" w:rsidR="00082D04" w:rsidRDefault="00082D04" w:rsidP="0014717D">
      <w:pPr>
        <w:rPr>
          <w:rFonts w:ascii="Calibri"/>
        </w:rPr>
      </w:pPr>
    </w:p>
    <w:p w14:paraId="2E165784" w14:textId="0172F67B" w:rsidR="0014717D" w:rsidRDefault="0014717D" w:rsidP="0014717D">
      <w:pPr>
        <w:rPr>
          <w:rFonts w:ascii="Calibri"/>
        </w:rPr>
      </w:pPr>
      <w:r>
        <w:rPr>
          <w:rFonts w:ascii="Calibri"/>
        </w:rPr>
        <w:t>institution data repository and data management plan should be tailed to the needs of the College. It should be linked to a centralized system for</w:t>
      </w:r>
      <w:r w:rsidR="00E83DBE">
        <w:rPr>
          <w:rFonts w:ascii="Calibri"/>
        </w:rPr>
        <w:t>;</w:t>
      </w:r>
    </w:p>
    <w:p w14:paraId="1919F53A" w14:textId="77777777" w:rsidR="0041743B" w:rsidRDefault="0041743B" w:rsidP="0014717D">
      <w:pPr>
        <w:rPr>
          <w:rFonts w:ascii="Calibri"/>
        </w:rPr>
      </w:pPr>
    </w:p>
    <w:p w14:paraId="49073D46" w14:textId="63CB5BE2" w:rsidR="0041743B" w:rsidRDefault="0041743B" w:rsidP="0041743B">
      <w:pPr>
        <w:pStyle w:val="ListParagraph"/>
        <w:numPr>
          <w:ilvl w:val="0"/>
          <w:numId w:val="3"/>
        </w:numPr>
      </w:pPr>
      <w:r>
        <w:t xml:space="preserve">Storing </w:t>
      </w:r>
    </w:p>
    <w:p w14:paraId="4FB3749D" w14:textId="5BA4038F" w:rsidR="0041743B" w:rsidRDefault="0041743B" w:rsidP="0041743B">
      <w:pPr>
        <w:pStyle w:val="ListParagraph"/>
        <w:numPr>
          <w:ilvl w:val="0"/>
          <w:numId w:val="3"/>
        </w:numPr>
      </w:pPr>
      <w:r>
        <w:t>Organizing</w:t>
      </w:r>
    </w:p>
    <w:p w14:paraId="14D97B68" w14:textId="0A9E9136" w:rsidR="0041743B" w:rsidRDefault="0041743B" w:rsidP="0041743B">
      <w:pPr>
        <w:pStyle w:val="ListParagraph"/>
        <w:numPr>
          <w:ilvl w:val="0"/>
          <w:numId w:val="3"/>
        </w:numPr>
      </w:pPr>
      <w:r>
        <w:t>Management and retrieving academic, administrative and research-related data across departments and units</w:t>
      </w:r>
    </w:p>
    <w:p w14:paraId="75565F85" w14:textId="7B38785A" w:rsidR="0014717D" w:rsidRPr="009A5642" w:rsidRDefault="0014717D" w:rsidP="009A5642">
      <w:pPr>
        <w:pStyle w:val="NoSpacing"/>
      </w:pPr>
    </w:p>
    <w:p w14:paraId="0D9B5D11" w14:textId="77777777" w:rsidR="0014717D" w:rsidRDefault="0014717D" w:rsidP="0014717D">
      <w:r>
        <w:rPr>
          <w:rFonts w:ascii="Calibri"/>
        </w:rPr>
        <w:t>Interested vendors must enclose a brief description of their solution covering above specification.</w:t>
      </w:r>
    </w:p>
    <w:p w14:paraId="1C4E1072" w14:textId="77777777" w:rsidR="0014717D" w:rsidRDefault="0014717D" w:rsidP="0014717D"/>
    <w:p w14:paraId="79D9B2E3" w14:textId="77777777" w:rsidR="0014717D" w:rsidRDefault="0014717D" w:rsidP="0014717D"/>
    <w:p w14:paraId="2FB0A7A0" w14:textId="07162B55" w:rsidR="0014717D" w:rsidRPr="00B61577" w:rsidRDefault="0014717D" w:rsidP="0014717D">
      <w:pPr>
        <w:pStyle w:val="ListParagraph"/>
        <w:numPr>
          <w:ilvl w:val="0"/>
          <w:numId w:val="1"/>
        </w:numPr>
        <w:tabs>
          <w:tab w:val="left" w:pos="720"/>
        </w:tabs>
        <w:spacing w:line="232" w:lineRule="auto"/>
        <w:ind w:right="360"/>
        <w:rPr>
          <w:rFonts w:ascii="Times New Roman" w:eastAsia="Times New Roman" w:hAnsi="Times New Roman"/>
        </w:rPr>
      </w:pPr>
      <w:r w:rsidRPr="00B61577">
        <w:rPr>
          <w:rFonts w:ascii="Times New Roman" w:eastAsia="Times New Roman" w:hAnsi="Times New Roman"/>
        </w:rPr>
        <w:t xml:space="preserve">The college of health, Yamfo invites sealed Tenders from eligible vendors </w:t>
      </w:r>
      <w:r w:rsidR="00620174">
        <w:rPr>
          <w:rFonts w:ascii="Times New Roman" w:eastAsia="Times New Roman" w:hAnsi="Times New Roman"/>
        </w:rPr>
        <w:t>to design</w:t>
      </w:r>
      <w:r w:rsidRPr="00B6157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  </w:t>
      </w:r>
      <w:r w:rsidRPr="00B61577">
        <w:rPr>
          <w:rFonts w:ascii="Times New Roman" w:eastAsia="Times New Roman" w:hAnsi="Times New Roman"/>
        </w:rPr>
        <w:t>d</w:t>
      </w:r>
      <w:r w:rsidR="00620174">
        <w:rPr>
          <w:rFonts w:ascii="Times New Roman" w:eastAsia="Times New Roman" w:hAnsi="Times New Roman"/>
        </w:rPr>
        <w:t>ata repository plan</w:t>
      </w:r>
      <w:r w:rsidRPr="00B61577">
        <w:rPr>
          <w:rFonts w:ascii="Times New Roman" w:eastAsia="Times New Roman" w:hAnsi="Times New Roman"/>
        </w:rPr>
        <w:t xml:space="preserve"> </w:t>
      </w:r>
      <w:r w:rsidR="00620174">
        <w:rPr>
          <w:rFonts w:ascii="Times New Roman" w:eastAsia="Times New Roman" w:hAnsi="Times New Roman"/>
        </w:rPr>
        <w:t xml:space="preserve">for </w:t>
      </w:r>
      <w:r w:rsidRPr="00B61577">
        <w:rPr>
          <w:rFonts w:ascii="Times New Roman" w:eastAsia="Times New Roman" w:hAnsi="Times New Roman"/>
        </w:rPr>
        <w:t xml:space="preserve">the above areas. </w:t>
      </w:r>
    </w:p>
    <w:p w14:paraId="271B7407" w14:textId="77777777" w:rsidR="0014717D" w:rsidRDefault="0014717D" w:rsidP="0014717D">
      <w:pPr>
        <w:spacing w:line="13" w:lineRule="exact"/>
        <w:rPr>
          <w:rFonts w:ascii="Times New Roman" w:eastAsia="Times New Roman" w:hAnsi="Times New Roman"/>
        </w:rPr>
      </w:pPr>
    </w:p>
    <w:p w14:paraId="633EEE48" w14:textId="77777777" w:rsidR="0014717D" w:rsidRDefault="0014717D" w:rsidP="0014717D">
      <w:pPr>
        <w:spacing w:line="235" w:lineRule="auto"/>
        <w:ind w:righ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Tendering will be conducted through the National Competitive Tendering procedures     </w:t>
      </w:r>
    </w:p>
    <w:p w14:paraId="004833C6" w14:textId="77777777" w:rsidR="0014717D" w:rsidRDefault="0014717D" w:rsidP="0014717D">
      <w:pPr>
        <w:spacing w:line="235" w:lineRule="auto"/>
        <w:ind w:righ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specified in the Public Procurement Act, 2016 as amended and in the Guidelines of the    </w:t>
      </w:r>
    </w:p>
    <w:p w14:paraId="6CF6F0D1" w14:textId="77777777" w:rsidR="0014717D" w:rsidRDefault="0014717D" w:rsidP="0014717D">
      <w:pPr>
        <w:spacing w:line="235" w:lineRule="auto"/>
        <w:ind w:righ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Public Procurement Authority of the Republic Ghana.</w:t>
      </w:r>
    </w:p>
    <w:p w14:paraId="5881837A" w14:textId="77777777" w:rsidR="0014717D" w:rsidRDefault="0014717D" w:rsidP="0014717D">
      <w:pPr>
        <w:spacing w:line="198" w:lineRule="exact"/>
        <w:rPr>
          <w:rFonts w:ascii="Times New Roman" w:eastAsia="Times New Roman" w:hAnsi="Times New Roman"/>
          <w:sz w:val="16"/>
          <w:szCs w:val="16"/>
        </w:rPr>
      </w:pPr>
    </w:p>
    <w:p w14:paraId="7B9DC9CA" w14:textId="77777777" w:rsidR="0014717D" w:rsidRDefault="0014717D" w:rsidP="0014717D">
      <w:pPr>
        <w:spacing w:line="235" w:lineRule="auto"/>
        <w:ind w:right="360"/>
        <w:jc w:val="both"/>
        <w:rPr>
          <w:rFonts w:ascii="Times New Roman" w:eastAsia="Times New Roman" w:hAnsi="Times New Roman"/>
        </w:rPr>
      </w:pPr>
    </w:p>
    <w:p w14:paraId="6F534EDA" w14:textId="536F4DB8" w:rsidR="0014717D" w:rsidRPr="00B61577" w:rsidRDefault="0014717D" w:rsidP="0014717D">
      <w:pPr>
        <w:pStyle w:val="ListParagraph"/>
        <w:numPr>
          <w:ilvl w:val="0"/>
          <w:numId w:val="1"/>
        </w:numPr>
        <w:spacing w:line="235" w:lineRule="auto"/>
        <w:ind w:right="360"/>
        <w:jc w:val="both"/>
        <w:rPr>
          <w:rFonts w:ascii="Times New Roman" w:eastAsia="Times New Roman" w:hAnsi="Times New Roman"/>
        </w:rPr>
      </w:pPr>
      <w:r w:rsidRPr="00B61577">
        <w:rPr>
          <w:rFonts w:ascii="Times New Roman" w:eastAsia="Times New Roman" w:hAnsi="Times New Roman"/>
        </w:rPr>
        <w:t xml:space="preserve">Interested eligible Tenderers may obtain further information from college of health Yamfo from </w:t>
      </w:r>
      <w:r w:rsidR="00E83DBE">
        <w:rPr>
          <w:rFonts w:ascii="Times New Roman" w:eastAsia="Times New Roman" w:hAnsi="Times New Roman"/>
        </w:rPr>
        <w:t>10</w:t>
      </w:r>
      <w:r w:rsidRPr="00B61577">
        <w:rPr>
          <w:rFonts w:ascii="Times New Roman" w:eastAsia="Times New Roman" w:hAnsi="Times New Roman"/>
        </w:rPr>
        <w:t xml:space="preserve">:00am to 3:30pm at the college administration </w:t>
      </w:r>
    </w:p>
    <w:p w14:paraId="6A0506CA" w14:textId="77777777" w:rsidR="0014717D" w:rsidRDefault="0014717D" w:rsidP="0014717D">
      <w:pPr>
        <w:tabs>
          <w:tab w:val="left" w:pos="782"/>
        </w:tabs>
        <w:spacing w:line="235" w:lineRule="auto"/>
        <w:ind w:right="360"/>
        <w:jc w:val="both"/>
        <w:rPr>
          <w:rFonts w:ascii="Times New Roman" w:eastAsia="Times New Roman" w:hAnsi="Times New Roman"/>
          <w:b/>
        </w:rPr>
      </w:pPr>
    </w:p>
    <w:p w14:paraId="5DE26E7D" w14:textId="77777777" w:rsidR="0014717D" w:rsidRDefault="0014717D" w:rsidP="0014717D">
      <w:pPr>
        <w:tabs>
          <w:tab w:val="left" w:pos="782"/>
        </w:tabs>
        <w:spacing w:line="235" w:lineRule="auto"/>
        <w:ind w:left="720" w:right="36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College of Health</w:t>
      </w:r>
    </w:p>
    <w:p w14:paraId="52B59BF5" w14:textId="77777777" w:rsidR="0014717D" w:rsidRDefault="0014717D" w:rsidP="0014717D">
      <w:pPr>
        <w:tabs>
          <w:tab w:val="left" w:pos="782"/>
        </w:tabs>
        <w:spacing w:line="235" w:lineRule="auto"/>
        <w:ind w:left="720" w:right="36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P.O. Box, 23</w:t>
      </w:r>
    </w:p>
    <w:p w14:paraId="1C2CEB16" w14:textId="77777777" w:rsidR="0014717D" w:rsidRDefault="0014717D" w:rsidP="0014717D">
      <w:pPr>
        <w:tabs>
          <w:tab w:val="left" w:pos="782"/>
        </w:tabs>
        <w:spacing w:line="235" w:lineRule="auto"/>
        <w:ind w:left="720" w:right="36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Yamfo</w:t>
      </w:r>
    </w:p>
    <w:p w14:paraId="02435FBF" w14:textId="77777777" w:rsidR="0014717D" w:rsidRDefault="0014717D" w:rsidP="0014717D">
      <w:pPr>
        <w:spacing w:line="196" w:lineRule="exact"/>
        <w:rPr>
          <w:rFonts w:ascii="Times New Roman" w:eastAsia="Times New Roman" w:hAnsi="Times New Roman"/>
          <w:sz w:val="18"/>
          <w:szCs w:val="16"/>
        </w:rPr>
      </w:pPr>
    </w:p>
    <w:p w14:paraId="6DBCD111" w14:textId="77777777" w:rsidR="0014717D" w:rsidRPr="009F41A1" w:rsidRDefault="0014717D" w:rsidP="0014717D">
      <w:pPr>
        <w:pStyle w:val="ListParagraph"/>
        <w:numPr>
          <w:ilvl w:val="0"/>
          <w:numId w:val="1"/>
        </w:numPr>
        <w:spacing w:after="160" w:line="259" w:lineRule="auto"/>
      </w:pPr>
      <w:r w:rsidRPr="00C95980">
        <w:t>A complete set of the Tender documents in English may be downloaded electronicall</w:t>
      </w:r>
      <w:r>
        <w:t>y through GHANEPS. There will be Gh₡300 participation fee</w:t>
      </w:r>
      <w:r w:rsidRPr="00C95980">
        <w:t xml:space="preserve">. After Publication of </w:t>
      </w:r>
      <w:r>
        <w:t>Tenders</w:t>
      </w:r>
      <w:r w:rsidRPr="00C95980">
        <w:t xml:space="preserve"> prospective tenders should log onto </w:t>
      </w:r>
      <w:r w:rsidRPr="00C95980">
        <w:rPr>
          <w:b/>
          <w:bCs/>
        </w:rPr>
        <w:t>www.ghaneps.gov.gh</w:t>
      </w:r>
      <w:r w:rsidRPr="00C95980">
        <w:t xml:space="preserve"> for the Tender Documents with their respective username and password. Tenders then liaise with the help desk of Public Procurement Authority (via </w:t>
      </w:r>
      <w:r w:rsidRPr="00C95980">
        <w:rPr>
          <w:b/>
          <w:bCs/>
        </w:rPr>
        <w:t>0302738148</w:t>
      </w:r>
      <w:r w:rsidRPr="00C95980">
        <w:t xml:space="preserve">, </w:t>
      </w:r>
      <w:r w:rsidRPr="00C95980">
        <w:rPr>
          <w:b/>
          <w:bCs/>
        </w:rPr>
        <w:t>0241883672</w:t>
      </w:r>
      <w:r w:rsidRPr="00C95980">
        <w:t xml:space="preserve">, </w:t>
      </w:r>
      <w:r w:rsidRPr="00C95980">
        <w:rPr>
          <w:b/>
          <w:bCs/>
        </w:rPr>
        <w:t>0551858855</w:t>
      </w:r>
      <w:r w:rsidRPr="00C95980">
        <w:t xml:space="preserve"> and </w:t>
      </w:r>
      <w:r w:rsidRPr="00C95980">
        <w:rPr>
          <w:b/>
          <w:bCs/>
        </w:rPr>
        <w:t>0205788910</w:t>
      </w:r>
      <w:r w:rsidRPr="00C95980">
        <w:t xml:space="preserve"> for direction for payment of the tender participation fee. Tenderers will be required to attach the following </w:t>
      </w:r>
    </w:p>
    <w:p w14:paraId="7FAD593C" w14:textId="77777777" w:rsidR="0014717D" w:rsidRDefault="0014717D" w:rsidP="0014717D">
      <w:pPr>
        <w:spacing w:line="198" w:lineRule="exact"/>
        <w:rPr>
          <w:rFonts w:ascii="Times New Roman" w:eastAsia="Times New Roman" w:hAnsi="Times New Roman"/>
          <w:sz w:val="16"/>
          <w:szCs w:val="16"/>
        </w:rPr>
      </w:pPr>
    </w:p>
    <w:p w14:paraId="38453E78" w14:textId="21A9E185" w:rsidR="0014717D" w:rsidRDefault="0014717D" w:rsidP="0014717D">
      <w:pPr>
        <w:numPr>
          <w:ilvl w:val="0"/>
          <w:numId w:val="1"/>
        </w:numPr>
        <w:tabs>
          <w:tab w:val="left" w:pos="720"/>
        </w:tabs>
        <w:spacing w:line="216" w:lineRule="auto"/>
        <w:ind w:righ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Tenders must be delivered to the address above at or before 10:00am on </w:t>
      </w:r>
      <w:r w:rsidR="00620174" w:rsidRPr="00620174">
        <w:rPr>
          <w:rFonts w:ascii="Times New Roman" w:eastAsia="Times New Roman" w:hAnsi="Times New Roman"/>
          <w:color w:val="000000" w:themeColor="text1"/>
        </w:rPr>
        <w:t>Wedne</w:t>
      </w:r>
      <w:r w:rsidRPr="00620174">
        <w:rPr>
          <w:rFonts w:ascii="Times New Roman" w:eastAsia="Times New Roman" w:hAnsi="Times New Roman"/>
          <w:color w:val="000000" w:themeColor="text1"/>
        </w:rPr>
        <w:t xml:space="preserve">sday, </w:t>
      </w:r>
      <w:r>
        <w:rPr>
          <w:rFonts w:ascii="Times New Roman" w:eastAsia="Times New Roman" w:hAnsi="Times New Roman"/>
        </w:rPr>
        <w:t>October</w:t>
      </w:r>
      <w:r>
        <w:rPr>
          <w:rFonts w:ascii="Times New Roman" w:eastAsia="Times New Roman" w:hAnsi="Times New Roman"/>
          <w:color w:val="EE0000"/>
        </w:rPr>
        <w:t xml:space="preserve"> </w:t>
      </w:r>
      <w:r w:rsidR="00620174" w:rsidRPr="00620174">
        <w:rPr>
          <w:rFonts w:ascii="Times New Roman" w:eastAsia="Times New Roman" w:hAnsi="Times New Roman"/>
          <w:color w:val="000000" w:themeColor="text1"/>
        </w:rPr>
        <w:t>22</w:t>
      </w:r>
      <w:r w:rsidRPr="00620174">
        <w:rPr>
          <w:rFonts w:ascii="Times New Roman" w:eastAsia="Times New Roman" w:hAnsi="Times New Roman"/>
          <w:color w:val="000000" w:themeColor="text1"/>
        </w:rPr>
        <w:t>, 2025</w:t>
      </w:r>
      <w:r w:rsidRPr="009F41A1">
        <w:rPr>
          <w:rFonts w:ascii="Times New Roman" w:eastAsia="Times New Roman" w:hAnsi="Times New Roman"/>
          <w:color w:val="EE0000"/>
          <w:vertAlign w:val="superscript"/>
        </w:rPr>
        <w:t>.</w:t>
      </w:r>
      <w:r w:rsidRPr="009F41A1">
        <w:rPr>
          <w:rFonts w:ascii="Times New Roman" w:eastAsia="Times New Roman" w:hAnsi="Times New Roman"/>
          <w:color w:val="EE0000"/>
        </w:rPr>
        <w:t xml:space="preserve"> </w:t>
      </w:r>
      <w:r>
        <w:rPr>
          <w:rFonts w:ascii="Times New Roman" w:eastAsia="Times New Roman" w:hAnsi="Times New Roman"/>
        </w:rPr>
        <w:t xml:space="preserve">Tenders shall be valid for a period of 90 days </w:t>
      </w:r>
      <w:r w:rsidRPr="00B61577">
        <w:rPr>
          <w:rFonts w:ascii="Times New Roman" w:eastAsia="Times New Roman" w:hAnsi="Times New Roman"/>
        </w:rPr>
        <w:t>after the deadline of</w:t>
      </w:r>
    </w:p>
    <w:p w14:paraId="537A5C2E" w14:textId="77777777" w:rsidR="0014717D" w:rsidRDefault="0014717D" w:rsidP="0014717D">
      <w:pPr>
        <w:tabs>
          <w:tab w:val="left" w:pos="701"/>
        </w:tabs>
        <w:spacing w:line="216" w:lineRule="auto"/>
        <w:ind w:righ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</w:t>
      </w:r>
      <w:r w:rsidRPr="00B61577">
        <w:rPr>
          <w:rFonts w:ascii="Times New Roman" w:eastAsia="Times New Roman" w:hAnsi="Times New Roman"/>
        </w:rPr>
        <w:t>Tender submission. All Tenders must be accompanied by a Tender</w:t>
      </w:r>
      <w:r>
        <w:rPr>
          <w:rFonts w:ascii="Times New Roman" w:eastAsia="Times New Roman" w:hAnsi="Times New Roman"/>
        </w:rPr>
        <w:t xml:space="preserve"> </w:t>
      </w:r>
      <w:r w:rsidRPr="00B61577">
        <w:rPr>
          <w:rFonts w:ascii="Times New Roman" w:eastAsia="Times New Roman" w:hAnsi="Times New Roman"/>
        </w:rPr>
        <w:t xml:space="preserve">Security or not less </w:t>
      </w:r>
    </w:p>
    <w:p w14:paraId="182F41B5" w14:textId="77777777" w:rsidR="0014717D" w:rsidRDefault="0014717D" w:rsidP="0014717D">
      <w:pPr>
        <w:tabs>
          <w:tab w:val="left" w:pos="720"/>
        </w:tabs>
        <w:spacing w:line="216" w:lineRule="auto"/>
        <w:ind w:righ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</w:t>
      </w:r>
      <w:r w:rsidRPr="00B61577">
        <w:rPr>
          <w:rFonts w:ascii="Times New Roman" w:eastAsia="Times New Roman" w:hAnsi="Times New Roman"/>
        </w:rPr>
        <w:t xml:space="preserve">than </w:t>
      </w:r>
      <w:r>
        <w:rPr>
          <w:rFonts w:ascii="Times New Roman" w:eastAsia="Times New Roman" w:hAnsi="Times New Roman"/>
        </w:rPr>
        <w:t>t</w:t>
      </w:r>
      <w:r w:rsidRPr="00B61577">
        <w:rPr>
          <w:rFonts w:ascii="Times New Roman" w:eastAsia="Times New Roman" w:hAnsi="Times New Roman"/>
        </w:rPr>
        <w:t xml:space="preserve">wo percent (2%) of the Tender price or as stated in the Tender </w:t>
      </w:r>
      <w:r>
        <w:rPr>
          <w:rFonts w:ascii="Times New Roman" w:eastAsia="Times New Roman" w:hAnsi="Times New Roman"/>
        </w:rPr>
        <w:t xml:space="preserve">    </w:t>
      </w:r>
      <w:r w:rsidRPr="00B61577">
        <w:rPr>
          <w:rFonts w:ascii="Times New Roman" w:eastAsia="Times New Roman" w:hAnsi="Times New Roman"/>
        </w:rPr>
        <w:t xml:space="preserve">Data Sheet] or </w:t>
      </w:r>
    </w:p>
    <w:p w14:paraId="67F86CEE" w14:textId="77777777" w:rsidR="0014717D" w:rsidRPr="00B61577" w:rsidRDefault="0014717D" w:rsidP="0014717D">
      <w:pPr>
        <w:tabs>
          <w:tab w:val="left" w:pos="720"/>
        </w:tabs>
        <w:spacing w:line="216" w:lineRule="auto"/>
        <w:ind w:righ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</w:t>
      </w:r>
      <w:r w:rsidRPr="00B61577">
        <w:rPr>
          <w:rFonts w:ascii="Times New Roman" w:eastAsia="Times New Roman" w:hAnsi="Times New Roman"/>
        </w:rPr>
        <w:t>Tender Securing Declaration (if required).</w:t>
      </w:r>
    </w:p>
    <w:p w14:paraId="4077DECC" w14:textId="77777777" w:rsidR="0014717D" w:rsidRDefault="0014717D" w:rsidP="0014717D">
      <w:pPr>
        <w:spacing w:line="290" w:lineRule="exact"/>
        <w:rPr>
          <w:rFonts w:ascii="Times New Roman" w:eastAsia="Times New Roman" w:hAnsi="Times New Roman"/>
          <w:sz w:val="16"/>
          <w:szCs w:val="16"/>
        </w:rPr>
      </w:pPr>
    </w:p>
    <w:p w14:paraId="51AB0702" w14:textId="77777777" w:rsidR="0014717D" w:rsidRDefault="0014717D" w:rsidP="0014717D">
      <w:pPr>
        <w:tabs>
          <w:tab w:val="left" w:pos="701"/>
        </w:tabs>
        <w:spacing w:line="216" w:lineRule="auto"/>
        <w:ind w:right="360"/>
        <w:jc w:val="both"/>
        <w:rPr>
          <w:rFonts w:ascii="Times New Roman" w:eastAsia="Times New Roman" w:hAnsi="Times New Roman"/>
        </w:rPr>
      </w:pPr>
      <w:r w:rsidRPr="00B6157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</w:p>
    <w:p w14:paraId="2938BBD5" w14:textId="77777777" w:rsidR="0014717D" w:rsidRDefault="0014717D" w:rsidP="0014717D">
      <w:pPr>
        <w:tabs>
          <w:tab w:val="left" w:pos="701"/>
        </w:tabs>
        <w:spacing w:line="216" w:lineRule="auto"/>
        <w:ind w:right="360"/>
        <w:jc w:val="both"/>
        <w:rPr>
          <w:rFonts w:ascii="Times New Roman" w:eastAsia="Times New Roman" w:hAnsi="Times New Roman"/>
        </w:rPr>
      </w:pPr>
    </w:p>
    <w:p w14:paraId="008AA7A2" w14:textId="0D3D7EA4" w:rsidR="0014717D" w:rsidRDefault="0014717D" w:rsidP="0014717D">
      <w:pPr>
        <w:tabs>
          <w:tab w:val="left" w:pos="701"/>
        </w:tabs>
        <w:spacing w:line="216" w:lineRule="auto"/>
        <w:ind w:righ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</w:t>
      </w:r>
    </w:p>
    <w:p w14:paraId="624DAFBE" w14:textId="77777777" w:rsidR="0014717D" w:rsidRDefault="0014717D" w:rsidP="0014717D">
      <w:pPr>
        <w:numPr>
          <w:ilvl w:val="0"/>
          <w:numId w:val="1"/>
        </w:numPr>
        <w:tabs>
          <w:tab w:val="left" w:pos="701"/>
        </w:tabs>
        <w:spacing w:line="237" w:lineRule="auto"/>
        <w:ind w:righ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It is mandatory that Tenderers include in their tender the under listed statutory                requirements.</w:t>
      </w:r>
    </w:p>
    <w:p w14:paraId="6B3E6EA3" w14:textId="77777777" w:rsidR="0014717D" w:rsidRDefault="0014717D" w:rsidP="00620174">
      <w:pPr>
        <w:tabs>
          <w:tab w:val="left" w:pos="701"/>
        </w:tabs>
        <w:spacing w:line="237" w:lineRule="auto"/>
        <w:ind w:right="360"/>
        <w:jc w:val="both"/>
        <w:rPr>
          <w:rFonts w:ascii="Times New Roman" w:eastAsia="Times New Roman" w:hAnsi="Times New Roman"/>
        </w:rPr>
      </w:pPr>
    </w:p>
    <w:p w14:paraId="55274DD6" w14:textId="77777777" w:rsidR="0014717D" w:rsidRDefault="0014717D" w:rsidP="0014717D">
      <w:pPr>
        <w:numPr>
          <w:ilvl w:val="0"/>
          <w:numId w:val="2"/>
        </w:numPr>
        <w:tabs>
          <w:tab w:val="left" w:pos="701"/>
        </w:tabs>
        <w:spacing w:line="237" w:lineRule="auto"/>
        <w:ind w:right="36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 w:cs="Times New Roman"/>
          <w:bCs/>
          <w:iCs/>
        </w:rPr>
        <w:t xml:space="preserve">Valid GRA Tax Clearance Certificate. </w:t>
      </w:r>
    </w:p>
    <w:p w14:paraId="5FE1F6DD" w14:textId="77777777" w:rsidR="0014717D" w:rsidRDefault="0014717D" w:rsidP="0014717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Valid SSNIT Clearance Certificate. </w:t>
      </w:r>
    </w:p>
    <w:p w14:paraId="7AC85A3E" w14:textId="77777777" w:rsidR="0014717D" w:rsidRDefault="0014717D" w:rsidP="0014717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Valid VAT Registration Certificate (if applicable).</w:t>
      </w:r>
    </w:p>
    <w:p w14:paraId="733AF42E" w14:textId="77777777" w:rsidR="0014717D" w:rsidRDefault="0014717D" w:rsidP="0014717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Valid Business Registration Certificate </w:t>
      </w:r>
    </w:p>
    <w:p w14:paraId="37B68C10" w14:textId="77777777" w:rsidR="0014717D" w:rsidRDefault="0014717D" w:rsidP="0014717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Valid Certificate of Incorporation </w:t>
      </w:r>
    </w:p>
    <w:p w14:paraId="71280552" w14:textId="77777777" w:rsidR="0014717D" w:rsidRDefault="0014717D" w:rsidP="0014717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Valid Certificate of Commencement.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7610DE1" w14:textId="77777777" w:rsidR="0014717D" w:rsidRDefault="0014717D" w:rsidP="0014717D">
      <w:pPr>
        <w:numPr>
          <w:ilvl w:val="0"/>
          <w:numId w:val="2"/>
        </w:numPr>
        <w:tabs>
          <w:tab w:val="left" w:pos="701"/>
        </w:tabs>
        <w:spacing w:line="237" w:lineRule="auto"/>
        <w:ind w:righ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</w:rPr>
        <w:t>Evidence of Registration Certificate from PPA</w:t>
      </w:r>
    </w:p>
    <w:p w14:paraId="515E4A94" w14:textId="77777777" w:rsidR="0014717D" w:rsidRDefault="0014717D" w:rsidP="0014717D">
      <w:pPr>
        <w:tabs>
          <w:tab w:val="left" w:pos="701"/>
        </w:tabs>
        <w:spacing w:line="237" w:lineRule="auto"/>
        <w:ind w:right="360"/>
        <w:jc w:val="both"/>
        <w:rPr>
          <w:rFonts w:ascii="Times New Roman" w:eastAsia="Times New Roman" w:hAnsi="Times New Roman" w:cs="Times New Roman"/>
        </w:rPr>
      </w:pPr>
    </w:p>
    <w:p w14:paraId="295FE170" w14:textId="77777777" w:rsidR="0014717D" w:rsidRDefault="0014717D" w:rsidP="0014717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</w:t>
      </w:r>
    </w:p>
    <w:p w14:paraId="5E585F13" w14:textId="77777777" w:rsidR="0014717D" w:rsidRDefault="0014717D" w:rsidP="0014717D">
      <w:pPr>
        <w:spacing w:line="0" w:lineRule="atLeast"/>
        <w:ind w:left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</w:t>
      </w:r>
    </w:p>
    <w:p w14:paraId="7F44507D" w14:textId="77777777" w:rsidR="0014717D" w:rsidRDefault="0014717D" w:rsidP="0014717D">
      <w:pPr>
        <w:spacing w:line="0" w:lineRule="atLeast"/>
        <w:ind w:left="1080"/>
        <w:rPr>
          <w:rFonts w:ascii="Times New Roman" w:eastAsia="Times New Roman" w:hAnsi="Times New Roman"/>
        </w:rPr>
      </w:pPr>
    </w:p>
    <w:p w14:paraId="7AD0BD86" w14:textId="77777777" w:rsidR="0014717D" w:rsidRDefault="0014717D" w:rsidP="0014717D">
      <w:pPr>
        <w:spacing w:line="0" w:lineRule="atLeast"/>
        <w:ind w:left="43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…………….…………………………………</w:t>
      </w:r>
    </w:p>
    <w:p w14:paraId="3503B019" w14:textId="77777777" w:rsidR="0014717D" w:rsidRDefault="0014717D" w:rsidP="0014717D">
      <w:pPr>
        <w:spacing w:line="0" w:lineRule="atLeast"/>
        <w:ind w:left="1080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</w:rPr>
        <w:t xml:space="preserve">                                            MOHAMMED </w:t>
      </w:r>
      <w:proofErr w:type="spellStart"/>
      <w:r>
        <w:rPr>
          <w:rFonts w:ascii="Times New Roman" w:eastAsia="Times New Roman" w:hAnsi="Times New Roman"/>
        </w:rPr>
        <w:t>MOHAMMED</w:t>
      </w:r>
      <w:proofErr w:type="spellEnd"/>
      <w:r>
        <w:rPr>
          <w:rFonts w:ascii="Times New Roman" w:eastAsia="Times New Roman" w:hAnsi="Times New Roman"/>
        </w:rPr>
        <w:t xml:space="preserve"> IBRAHIM (MD, PhD) </w:t>
      </w:r>
    </w:p>
    <w:p w14:paraId="698770A4" w14:textId="77777777" w:rsidR="0014717D" w:rsidRDefault="0014717D" w:rsidP="0014717D">
      <w:pPr>
        <w:spacing w:line="0" w:lineRule="atLeast"/>
        <w:ind w:left="1080"/>
        <w:rPr>
          <w:rFonts w:ascii="Times New Roman" w:eastAsia="Times New Roman" w:hAnsi="Times New Roman"/>
          <w:color w:val="FF0000"/>
        </w:rPr>
      </w:pPr>
    </w:p>
    <w:p w14:paraId="0BF94150" w14:textId="77777777" w:rsidR="0014717D" w:rsidRDefault="0014717D" w:rsidP="0014717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(ENTITY HEAD)</w:t>
      </w:r>
    </w:p>
    <w:p w14:paraId="744B4598" w14:textId="77777777" w:rsidR="0014717D" w:rsidRDefault="0014717D" w:rsidP="0014717D"/>
    <w:p w14:paraId="7DCD44F1" w14:textId="77777777" w:rsidR="0014717D" w:rsidRDefault="0014717D"/>
    <w:sectPr w:rsidR="0014717D" w:rsidSect="0014717D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C26F2"/>
    <w:multiLevelType w:val="hybridMultilevel"/>
    <w:tmpl w:val="408E1DA2"/>
    <w:lvl w:ilvl="0" w:tplc="4AB0C8FE">
      <w:start w:val="1"/>
      <w:numFmt w:val="decimal"/>
      <w:lvlText w:val="%1.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11C20"/>
    <w:multiLevelType w:val="hybridMultilevel"/>
    <w:tmpl w:val="7ECA68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C864FB"/>
    <w:multiLevelType w:val="hybridMultilevel"/>
    <w:tmpl w:val="9E7A3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110179">
    <w:abstractNumId w:val="1"/>
  </w:num>
  <w:num w:numId="2" w16cid:durableId="2003702578">
    <w:abstractNumId w:val="2"/>
  </w:num>
  <w:num w:numId="3" w16cid:durableId="87033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7D"/>
    <w:rsid w:val="00082D04"/>
    <w:rsid w:val="0014717D"/>
    <w:rsid w:val="00284F75"/>
    <w:rsid w:val="0041743B"/>
    <w:rsid w:val="0043332E"/>
    <w:rsid w:val="004A7442"/>
    <w:rsid w:val="00620174"/>
    <w:rsid w:val="006C18B9"/>
    <w:rsid w:val="009A5642"/>
    <w:rsid w:val="00E83DBE"/>
    <w:rsid w:val="00EB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F12D"/>
  <w15:chartTrackingRefBased/>
  <w15:docId w15:val="{1C70D176-1C56-4291-9E42-E3E1C1A5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17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1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1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1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1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1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1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1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1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1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17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A564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Inusah Mumuni</dc:creator>
  <cp:keywords/>
  <dc:description/>
  <cp:lastModifiedBy>Inusah Mumuni</cp:lastModifiedBy>
  <cp:revision>3</cp:revision>
  <dcterms:created xsi:type="dcterms:W3CDTF">2025-09-30T12:19:00Z</dcterms:created>
  <dcterms:modified xsi:type="dcterms:W3CDTF">2025-10-07T22:44:00Z</dcterms:modified>
</cp:coreProperties>
</file>